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476477" w:rsidRPr="00476477" w:rsidRDefault="00D82130" w:rsidP="00476477">
      <w:pPr>
        <w:rPr>
          <w:color w:val="FF0000"/>
        </w:rPr>
      </w:pPr>
      <w:hyperlink r:id="rId5" w:history="1">
        <w:r w:rsidR="00476477" w:rsidRPr="00476477">
          <w:rPr>
            <w:rStyle w:val="Hyperlink"/>
            <w:color w:val="FF0000"/>
          </w:rPr>
          <w:t>https://csd-i.org/</w:t>
        </w:r>
      </w:hyperlink>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adaptation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w:t>
      </w:r>
      <w:r w:rsidRPr="00185B90">
        <w:rPr>
          <w:rFonts w:ascii="Century Gothic" w:hAnsi="Century Gothic" w:cstheme="minorHAnsi"/>
          <w:sz w:val="18"/>
          <w:szCs w:val="18"/>
        </w:rPr>
        <w:lastRenderedPageBreak/>
        <w:t xml:space="preserve">photograph is in focus. If you're taking photographs outside where there's lots of glare, use your flash—it will balance out the 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A722B0" w:rsidRPr="0030700C" w:rsidRDefault="00A722B0" w:rsidP="00A722B0">
      <w:pPr>
        <w:spacing w:after="0"/>
        <w:jc w:val="center"/>
        <w:rPr>
          <w:rFonts w:ascii="Arial Narrow" w:hAnsi="Arial Narrow"/>
          <w:color w:val="000000"/>
          <w:sz w:val="18"/>
          <w:szCs w:val="18"/>
        </w:rPr>
      </w:pPr>
      <w:r w:rsidRPr="0030700C">
        <w:rPr>
          <w:rFonts w:ascii="Arial Narrow" w:hAnsi="Arial Narrow"/>
          <w:color w:val="000000"/>
          <w:sz w:val="18"/>
          <w:szCs w:val="18"/>
        </w:rPr>
        <w:t>Copyright © Tim Magee</w:t>
      </w:r>
    </w:p>
    <w:p w:rsidR="00746778" w:rsidRDefault="00746778" w:rsidP="00A722B0">
      <w:pPr>
        <w:spacing w:after="0"/>
      </w:pPr>
    </w:p>
    <w:sectPr w:rsidR="00746778"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59DCE5A1-7B18-408C-A6A6-E335FEE3DF6E}"/>
    <w:docVar w:name="dgnword-eventsink" w:val="8401304"/>
  </w:docVars>
  <w:rsids>
    <w:rsidRoot w:val="00100A9C"/>
    <w:rsid w:val="00100A9C"/>
    <w:rsid w:val="00476477"/>
    <w:rsid w:val="00557A30"/>
    <w:rsid w:val="006104A3"/>
    <w:rsid w:val="00663852"/>
    <w:rsid w:val="00746778"/>
    <w:rsid w:val="00885C97"/>
    <w:rsid w:val="008D241A"/>
    <w:rsid w:val="00924E43"/>
    <w:rsid w:val="00984233"/>
    <w:rsid w:val="009E79D8"/>
    <w:rsid w:val="00A722B0"/>
    <w:rsid w:val="00C92617"/>
    <w:rsid w:val="00CE6272"/>
    <w:rsid w:val="00D5111B"/>
    <w:rsid w:val="00D82130"/>
    <w:rsid w:val="00E81E3F"/>
    <w:rsid w:val="00EA0612"/>
    <w:rsid w:val="00F43A7E"/>
    <w:rsid w:val="00FE4C42"/>
    <w:rsid w:val="00FE7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6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2020-01-10T22:05:00Z</dcterms:created>
  <dcterms:modified xsi:type="dcterms:W3CDTF">2020-01-10T22:05:00Z</dcterms:modified>
</cp:coreProperties>
</file>